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D2716" w14:textId="77777777" w:rsidR="009900FD" w:rsidRDefault="009900FD" w:rsidP="009900FD">
      <w:pPr>
        <w:spacing w:after="0"/>
        <w:jc w:val="left"/>
      </w:pPr>
    </w:p>
    <w:tbl>
      <w:tblPr>
        <w:tblW w:w="93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5953"/>
      </w:tblGrid>
      <w:tr w:rsidR="009900FD" w:rsidRPr="003769B3" w14:paraId="0BF9EA80" w14:textId="77777777" w:rsidTr="00677904">
        <w:trPr>
          <w:trHeight w:val="390"/>
        </w:trPr>
        <w:tc>
          <w:tcPr>
            <w:tcW w:w="3369" w:type="dxa"/>
          </w:tcPr>
          <w:p w14:paraId="75012405" w14:textId="77777777" w:rsidR="009900FD" w:rsidRPr="003769B3" w:rsidRDefault="009900FD" w:rsidP="00677904">
            <w:pPr>
              <w:spacing w:before="60" w:after="60"/>
              <w:rPr>
                <w:b/>
                <w:szCs w:val="24"/>
              </w:rPr>
            </w:pPr>
            <w:r w:rsidRPr="003769B3">
              <w:rPr>
                <w:b/>
                <w:szCs w:val="24"/>
              </w:rPr>
              <w:t>Kohus</w:t>
            </w:r>
          </w:p>
        </w:tc>
        <w:tc>
          <w:tcPr>
            <w:tcW w:w="5953" w:type="dxa"/>
          </w:tcPr>
          <w:p w14:paraId="47CFDA63" w14:textId="77777777" w:rsidR="009900FD" w:rsidRPr="003769B3" w:rsidRDefault="009900FD" w:rsidP="00677904">
            <w:pPr>
              <w:spacing w:before="60" w:after="60"/>
              <w:rPr>
                <w:szCs w:val="24"/>
              </w:rPr>
            </w:pPr>
            <w:r w:rsidRPr="003769B3">
              <w:rPr>
                <w:szCs w:val="24"/>
              </w:rPr>
              <w:t>Tallinna Halduskohus</w:t>
            </w:r>
          </w:p>
        </w:tc>
      </w:tr>
      <w:tr w:rsidR="009900FD" w:rsidRPr="003769B3" w14:paraId="0DD5EC26" w14:textId="77777777" w:rsidTr="00677904">
        <w:trPr>
          <w:trHeight w:val="390"/>
        </w:trPr>
        <w:tc>
          <w:tcPr>
            <w:tcW w:w="3369" w:type="dxa"/>
          </w:tcPr>
          <w:p w14:paraId="0DA5DE82" w14:textId="77777777" w:rsidR="009900FD" w:rsidRPr="003769B3" w:rsidRDefault="009900FD" w:rsidP="00677904">
            <w:pPr>
              <w:spacing w:before="60" w:after="60"/>
              <w:rPr>
                <w:b/>
                <w:szCs w:val="24"/>
              </w:rPr>
            </w:pPr>
            <w:r w:rsidRPr="003769B3">
              <w:rPr>
                <w:b/>
                <w:szCs w:val="24"/>
              </w:rPr>
              <w:t>Kohtunik</w:t>
            </w:r>
          </w:p>
        </w:tc>
        <w:tc>
          <w:tcPr>
            <w:tcW w:w="5953" w:type="dxa"/>
          </w:tcPr>
          <w:p w14:paraId="2F55E8EF" w14:textId="77777777" w:rsidR="009900FD" w:rsidRPr="003769B3" w:rsidRDefault="009900FD" w:rsidP="00677904">
            <w:pPr>
              <w:spacing w:before="60" w:after="60"/>
              <w:rPr>
                <w:szCs w:val="24"/>
              </w:rPr>
            </w:pPr>
            <w:r w:rsidRPr="003769B3">
              <w:rPr>
                <w:szCs w:val="24"/>
              </w:rPr>
              <w:t>Anu Maria Brenner</w:t>
            </w:r>
          </w:p>
        </w:tc>
      </w:tr>
      <w:tr w:rsidR="009900FD" w:rsidRPr="003769B3" w14:paraId="1C1E8748" w14:textId="77777777" w:rsidTr="00677904">
        <w:trPr>
          <w:trHeight w:val="390"/>
        </w:trPr>
        <w:tc>
          <w:tcPr>
            <w:tcW w:w="3369" w:type="dxa"/>
          </w:tcPr>
          <w:p w14:paraId="62D120AE" w14:textId="77777777" w:rsidR="009900FD" w:rsidRPr="003769B3" w:rsidRDefault="009900FD" w:rsidP="00677904">
            <w:pPr>
              <w:spacing w:before="60" w:after="60"/>
              <w:rPr>
                <w:b/>
                <w:szCs w:val="24"/>
              </w:rPr>
            </w:pPr>
            <w:r w:rsidRPr="003769B3">
              <w:rPr>
                <w:b/>
                <w:szCs w:val="24"/>
              </w:rPr>
              <w:t>Määruse</w:t>
            </w:r>
            <w:r>
              <w:rPr>
                <w:b/>
                <w:szCs w:val="24"/>
              </w:rPr>
              <w:t xml:space="preserve"> </w:t>
            </w:r>
            <w:r w:rsidRPr="003769B3">
              <w:rPr>
                <w:b/>
                <w:szCs w:val="24"/>
              </w:rPr>
              <w:t>tegemise aeg ja koht</w:t>
            </w:r>
          </w:p>
        </w:tc>
        <w:tc>
          <w:tcPr>
            <w:tcW w:w="5953" w:type="dxa"/>
          </w:tcPr>
          <w:p w14:paraId="0BDF99DE" w14:textId="77777777" w:rsidR="009900FD" w:rsidRPr="003769B3" w:rsidRDefault="009900FD" w:rsidP="00677904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7</w:t>
            </w:r>
            <w:r>
              <w:rPr>
                <w:szCs w:val="24"/>
              </w:rPr>
              <w:t>. november 2022</w:t>
            </w:r>
            <w:r w:rsidRPr="003769B3">
              <w:rPr>
                <w:szCs w:val="24"/>
              </w:rPr>
              <w:t>, Tallinn</w:t>
            </w:r>
          </w:p>
        </w:tc>
      </w:tr>
      <w:tr w:rsidR="009900FD" w:rsidRPr="003769B3" w14:paraId="11268D6A" w14:textId="77777777" w:rsidTr="00677904">
        <w:trPr>
          <w:trHeight w:val="390"/>
        </w:trPr>
        <w:tc>
          <w:tcPr>
            <w:tcW w:w="3369" w:type="dxa"/>
          </w:tcPr>
          <w:p w14:paraId="5A38A062" w14:textId="77777777" w:rsidR="009900FD" w:rsidRPr="003769B3" w:rsidRDefault="009900FD" w:rsidP="00677904">
            <w:pPr>
              <w:spacing w:before="60" w:after="60"/>
              <w:rPr>
                <w:b/>
                <w:szCs w:val="24"/>
              </w:rPr>
            </w:pPr>
            <w:r w:rsidRPr="003769B3">
              <w:rPr>
                <w:b/>
                <w:szCs w:val="24"/>
              </w:rPr>
              <w:t>Haldusasja number</w:t>
            </w:r>
          </w:p>
        </w:tc>
        <w:tc>
          <w:tcPr>
            <w:tcW w:w="5953" w:type="dxa"/>
          </w:tcPr>
          <w:p w14:paraId="496DB787" w14:textId="77777777" w:rsidR="009900FD" w:rsidRPr="003769B3" w:rsidRDefault="009900FD" w:rsidP="00677904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3-22-2</w:t>
            </w:r>
            <w:r>
              <w:rPr>
                <w:szCs w:val="24"/>
              </w:rPr>
              <w:t>261</w:t>
            </w:r>
          </w:p>
        </w:tc>
      </w:tr>
      <w:tr w:rsidR="009900FD" w:rsidRPr="003769B3" w14:paraId="0EC64454" w14:textId="77777777" w:rsidTr="00677904">
        <w:trPr>
          <w:trHeight w:val="390"/>
        </w:trPr>
        <w:tc>
          <w:tcPr>
            <w:tcW w:w="3369" w:type="dxa"/>
          </w:tcPr>
          <w:p w14:paraId="0F0BC70B" w14:textId="77777777" w:rsidR="009900FD" w:rsidRPr="003769B3" w:rsidRDefault="009900FD" w:rsidP="00677904">
            <w:pPr>
              <w:spacing w:before="60" w:after="60"/>
              <w:rPr>
                <w:b/>
                <w:szCs w:val="24"/>
              </w:rPr>
            </w:pPr>
            <w:r w:rsidRPr="003769B3">
              <w:rPr>
                <w:b/>
                <w:szCs w:val="24"/>
              </w:rPr>
              <w:t>Haldusasi</w:t>
            </w:r>
          </w:p>
        </w:tc>
        <w:tc>
          <w:tcPr>
            <w:tcW w:w="5953" w:type="dxa"/>
          </w:tcPr>
          <w:p w14:paraId="51DFB8ED" w14:textId="77777777" w:rsidR="009900FD" w:rsidRPr="0031158B" w:rsidRDefault="009900FD" w:rsidP="00677904">
            <w:pPr>
              <w:spacing w:before="60" w:after="60"/>
              <w:rPr>
                <w:szCs w:val="24"/>
              </w:rPr>
            </w:pPr>
            <w:proofErr w:type="spellStart"/>
            <w:r>
              <w:rPr>
                <w:szCs w:val="24"/>
              </w:rPr>
              <w:t>Päidre</w:t>
            </w:r>
            <w:proofErr w:type="spellEnd"/>
            <w:r>
              <w:rPr>
                <w:szCs w:val="24"/>
              </w:rPr>
              <w:t xml:space="preserve"> Põllud OÜ kaebus Häädemeeste Vallavalitsuse 2</w:t>
            </w:r>
            <w:r w:rsidR="001D153E">
              <w:rPr>
                <w:szCs w:val="24"/>
              </w:rPr>
              <w:t>7</w:t>
            </w:r>
            <w:r>
              <w:rPr>
                <w:szCs w:val="24"/>
              </w:rPr>
              <w:t>.09.2022 korralduse nr 431 tühistamise nõudes</w:t>
            </w:r>
          </w:p>
        </w:tc>
      </w:tr>
      <w:tr w:rsidR="009900FD" w:rsidRPr="003769B3" w14:paraId="1E7B6E7C" w14:textId="77777777" w:rsidTr="00677904">
        <w:trPr>
          <w:trHeight w:val="390"/>
        </w:trPr>
        <w:tc>
          <w:tcPr>
            <w:tcW w:w="3369" w:type="dxa"/>
          </w:tcPr>
          <w:p w14:paraId="6737F107" w14:textId="77777777" w:rsidR="009900FD" w:rsidRPr="003769B3" w:rsidRDefault="009900FD" w:rsidP="00677904">
            <w:pPr>
              <w:spacing w:before="60" w:after="60"/>
              <w:rPr>
                <w:b/>
                <w:szCs w:val="24"/>
              </w:rPr>
            </w:pPr>
            <w:r w:rsidRPr="003769B3">
              <w:rPr>
                <w:b/>
                <w:szCs w:val="24"/>
              </w:rPr>
              <w:t>Menetlusosalised</w:t>
            </w:r>
          </w:p>
        </w:tc>
        <w:tc>
          <w:tcPr>
            <w:tcW w:w="5953" w:type="dxa"/>
          </w:tcPr>
          <w:p w14:paraId="68268151" w14:textId="77777777" w:rsidR="009900FD" w:rsidRDefault="009900FD" w:rsidP="00677904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Kaebaja </w:t>
            </w:r>
            <w:proofErr w:type="spellStart"/>
            <w:r>
              <w:rPr>
                <w:szCs w:val="24"/>
              </w:rPr>
              <w:t>Päidre</w:t>
            </w:r>
            <w:proofErr w:type="spellEnd"/>
            <w:r>
              <w:rPr>
                <w:szCs w:val="24"/>
              </w:rPr>
              <w:t xml:space="preserve"> Põllud OÜ (registrikood 10340091), volitatud esindaja Mihkel Nukka</w:t>
            </w:r>
          </w:p>
          <w:p w14:paraId="283BF038" w14:textId="77777777" w:rsidR="009900FD" w:rsidRPr="003769B3" w:rsidRDefault="009900FD" w:rsidP="00677904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Vastustaja </w:t>
            </w:r>
            <w:r>
              <w:rPr>
                <w:szCs w:val="24"/>
              </w:rPr>
              <w:t>Häädemeeste vald</w:t>
            </w:r>
          </w:p>
        </w:tc>
      </w:tr>
      <w:tr w:rsidR="009900FD" w:rsidRPr="003769B3" w14:paraId="6E995B54" w14:textId="77777777" w:rsidTr="00677904">
        <w:trPr>
          <w:trHeight w:val="390"/>
        </w:trPr>
        <w:tc>
          <w:tcPr>
            <w:tcW w:w="3369" w:type="dxa"/>
          </w:tcPr>
          <w:p w14:paraId="004A523C" w14:textId="77777777" w:rsidR="009900FD" w:rsidRPr="003769B3" w:rsidRDefault="009900FD" w:rsidP="00677904">
            <w:pPr>
              <w:spacing w:before="60" w:after="60"/>
              <w:rPr>
                <w:b/>
                <w:szCs w:val="24"/>
              </w:rPr>
            </w:pPr>
            <w:r w:rsidRPr="003769B3">
              <w:rPr>
                <w:b/>
                <w:szCs w:val="24"/>
              </w:rPr>
              <w:t xml:space="preserve">Menetlustoiming </w:t>
            </w:r>
          </w:p>
        </w:tc>
        <w:tc>
          <w:tcPr>
            <w:tcW w:w="5953" w:type="dxa"/>
          </w:tcPr>
          <w:p w14:paraId="3E416A57" w14:textId="77777777" w:rsidR="009900FD" w:rsidRPr="003769B3" w:rsidRDefault="009900FD" w:rsidP="00677904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Kaebuse menetlusse võtmine</w:t>
            </w:r>
          </w:p>
        </w:tc>
      </w:tr>
    </w:tbl>
    <w:p w14:paraId="0C5197EF" w14:textId="77777777" w:rsidR="009900FD" w:rsidRDefault="009900FD" w:rsidP="009900FD">
      <w:pPr>
        <w:jc w:val="left"/>
        <w:outlineLvl w:val="0"/>
        <w:rPr>
          <w:b/>
          <w:szCs w:val="24"/>
        </w:rPr>
      </w:pPr>
    </w:p>
    <w:p w14:paraId="313E6D63" w14:textId="77777777" w:rsidR="009900FD" w:rsidRPr="003769B3" w:rsidRDefault="009900FD" w:rsidP="009900FD">
      <w:pPr>
        <w:jc w:val="left"/>
        <w:outlineLvl w:val="0"/>
        <w:rPr>
          <w:b/>
          <w:szCs w:val="24"/>
        </w:rPr>
      </w:pPr>
      <w:r>
        <w:rPr>
          <w:b/>
          <w:szCs w:val="24"/>
        </w:rPr>
        <w:t>R</w:t>
      </w:r>
      <w:r w:rsidRPr="003769B3">
        <w:rPr>
          <w:b/>
          <w:szCs w:val="24"/>
        </w:rPr>
        <w:t>ESOLUTSIOON</w:t>
      </w:r>
    </w:p>
    <w:p w14:paraId="42F74655" w14:textId="77777777" w:rsidR="009900FD" w:rsidRDefault="009900FD" w:rsidP="009900FD">
      <w:pPr>
        <w:pStyle w:val="Loendilik"/>
        <w:numPr>
          <w:ilvl w:val="0"/>
          <w:numId w:val="1"/>
        </w:numPr>
        <w:tabs>
          <w:tab w:val="left" w:pos="284"/>
          <w:tab w:val="left" w:pos="9072"/>
        </w:tabs>
        <w:spacing w:before="120" w:after="120"/>
        <w:ind w:left="0" w:right="-23" w:firstLine="0"/>
        <w:contextualSpacing w:val="0"/>
        <w:rPr>
          <w:b/>
          <w:szCs w:val="24"/>
        </w:rPr>
      </w:pPr>
      <w:r>
        <w:rPr>
          <w:b/>
          <w:szCs w:val="24"/>
        </w:rPr>
        <w:t>Võtta</w:t>
      </w:r>
      <w:r w:rsidRPr="002932BF"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Päidre</w:t>
      </w:r>
      <w:proofErr w:type="spellEnd"/>
      <w:r>
        <w:rPr>
          <w:b/>
          <w:szCs w:val="24"/>
        </w:rPr>
        <w:t xml:space="preserve"> Põllud OÜ</w:t>
      </w:r>
      <w:r w:rsidRPr="002932BF">
        <w:rPr>
          <w:b/>
          <w:szCs w:val="24"/>
        </w:rPr>
        <w:t xml:space="preserve"> kaebus </w:t>
      </w:r>
      <w:r>
        <w:rPr>
          <w:b/>
          <w:szCs w:val="24"/>
        </w:rPr>
        <w:t>menetlusse</w:t>
      </w:r>
      <w:r w:rsidRPr="00114FC5">
        <w:rPr>
          <w:b/>
          <w:szCs w:val="24"/>
        </w:rPr>
        <w:t>.</w:t>
      </w:r>
    </w:p>
    <w:p w14:paraId="2351FCC7" w14:textId="77777777" w:rsidR="009900FD" w:rsidRPr="003769B3" w:rsidRDefault="009900FD" w:rsidP="009900FD">
      <w:pPr>
        <w:pStyle w:val="Loendilik"/>
        <w:numPr>
          <w:ilvl w:val="0"/>
          <w:numId w:val="1"/>
        </w:numPr>
        <w:tabs>
          <w:tab w:val="left" w:pos="284"/>
          <w:tab w:val="left" w:pos="9072"/>
        </w:tabs>
        <w:spacing w:before="120" w:after="120"/>
        <w:ind w:left="0" w:right="-23" w:firstLine="0"/>
        <w:contextualSpacing w:val="0"/>
        <w:rPr>
          <w:b/>
          <w:szCs w:val="24"/>
        </w:rPr>
      </w:pPr>
      <w:r w:rsidRPr="003769B3">
        <w:rPr>
          <w:b/>
          <w:szCs w:val="24"/>
        </w:rPr>
        <w:t>Asja vaatab läbi kohtunik Anu Maria Brenner.</w:t>
      </w:r>
    </w:p>
    <w:p w14:paraId="1B5B263A" w14:textId="77777777" w:rsidR="009900FD" w:rsidRDefault="009900FD" w:rsidP="009900FD">
      <w:pPr>
        <w:pStyle w:val="Loendilik"/>
        <w:numPr>
          <w:ilvl w:val="0"/>
          <w:numId w:val="1"/>
        </w:numPr>
        <w:tabs>
          <w:tab w:val="left" w:pos="284"/>
          <w:tab w:val="left" w:pos="9072"/>
        </w:tabs>
        <w:spacing w:before="120" w:after="120"/>
        <w:ind w:left="0" w:right="-23" w:firstLine="0"/>
        <w:contextualSpacing w:val="0"/>
        <w:rPr>
          <w:b/>
          <w:szCs w:val="24"/>
        </w:rPr>
      </w:pPr>
      <w:r w:rsidRPr="002F5C9A">
        <w:rPr>
          <w:b/>
          <w:szCs w:val="24"/>
        </w:rPr>
        <w:t>Tunnistada vastustajaks</w:t>
      </w:r>
      <w:r>
        <w:rPr>
          <w:b/>
          <w:szCs w:val="24"/>
        </w:rPr>
        <w:t xml:space="preserve"> </w:t>
      </w:r>
      <w:r>
        <w:rPr>
          <w:b/>
          <w:szCs w:val="24"/>
        </w:rPr>
        <w:t>Häädemeeste vald</w:t>
      </w:r>
      <w:r>
        <w:rPr>
          <w:b/>
          <w:szCs w:val="24"/>
        </w:rPr>
        <w:t>.</w:t>
      </w:r>
    </w:p>
    <w:p w14:paraId="12D640EF" w14:textId="77777777" w:rsidR="009900FD" w:rsidRDefault="009900FD" w:rsidP="009900FD">
      <w:pPr>
        <w:pStyle w:val="Loendilik"/>
        <w:numPr>
          <w:ilvl w:val="0"/>
          <w:numId w:val="1"/>
        </w:numPr>
        <w:tabs>
          <w:tab w:val="left" w:pos="284"/>
          <w:tab w:val="left" w:pos="9072"/>
        </w:tabs>
        <w:spacing w:before="120" w:after="120"/>
        <w:ind w:left="0" w:right="-23" w:firstLine="0"/>
        <w:contextualSpacing w:val="0"/>
        <w:rPr>
          <w:b/>
          <w:szCs w:val="24"/>
        </w:rPr>
      </w:pPr>
      <w:r w:rsidRPr="00813395">
        <w:rPr>
          <w:b/>
          <w:szCs w:val="24"/>
        </w:rPr>
        <w:t>Kohustada vastustaja</w:t>
      </w:r>
      <w:r>
        <w:rPr>
          <w:b/>
          <w:szCs w:val="24"/>
        </w:rPr>
        <w:t>t</w:t>
      </w:r>
      <w:r w:rsidRPr="00813395">
        <w:rPr>
          <w:b/>
          <w:szCs w:val="24"/>
        </w:rPr>
        <w:t xml:space="preserve"> vastama kaebusele </w:t>
      </w:r>
      <w:r>
        <w:rPr>
          <w:b/>
          <w:szCs w:val="24"/>
        </w:rPr>
        <w:t xml:space="preserve">30 päeva jooksul käesoleva määruse kättesaamisest arvates </w:t>
      </w:r>
      <w:r w:rsidRPr="00813395">
        <w:rPr>
          <w:b/>
          <w:szCs w:val="24"/>
        </w:rPr>
        <w:t>ning esitama kõik vaidlusega seotud ja asja lahendamiseks vajalikud dokumendid, mida ei ole veel kohtule esitatud.</w:t>
      </w:r>
    </w:p>
    <w:p w14:paraId="4085DDB3" w14:textId="77777777" w:rsidR="009900FD" w:rsidRPr="006C418A" w:rsidRDefault="009900FD" w:rsidP="009900FD">
      <w:pPr>
        <w:pStyle w:val="Loendilik"/>
        <w:numPr>
          <w:ilvl w:val="0"/>
          <w:numId w:val="1"/>
        </w:numPr>
        <w:tabs>
          <w:tab w:val="left" w:pos="284"/>
          <w:tab w:val="left" w:pos="9072"/>
        </w:tabs>
        <w:spacing w:before="120" w:after="120"/>
        <w:ind w:left="0" w:right="-23" w:firstLine="0"/>
        <w:contextualSpacing w:val="0"/>
        <w:rPr>
          <w:b/>
          <w:szCs w:val="24"/>
        </w:rPr>
      </w:pPr>
      <w:r w:rsidRPr="006C418A">
        <w:rPr>
          <w:b/>
          <w:szCs w:val="24"/>
        </w:rPr>
        <w:t>Menetlusosalistel teatada kohtule käesoleva määruse resolutsiooni punktis 4 sätestatud tähtaja jooksul, kas nad peavad võimalikuks asja lahendamist kompromissiga või muul viisil kokkuleppel.</w:t>
      </w:r>
    </w:p>
    <w:p w14:paraId="6A9703CD" w14:textId="77777777" w:rsidR="009900FD" w:rsidRPr="00B11D9C" w:rsidRDefault="009900FD" w:rsidP="009900FD">
      <w:pPr>
        <w:pStyle w:val="Loendilik"/>
        <w:tabs>
          <w:tab w:val="left" w:pos="426"/>
          <w:tab w:val="left" w:pos="9072"/>
        </w:tabs>
        <w:ind w:left="0" w:right="-23"/>
        <w:contextualSpacing w:val="0"/>
        <w:rPr>
          <w:b/>
          <w:szCs w:val="24"/>
        </w:rPr>
      </w:pPr>
      <w:r>
        <w:rPr>
          <w:b/>
          <w:szCs w:val="24"/>
        </w:rPr>
        <w:t>SELGITUSED</w:t>
      </w:r>
    </w:p>
    <w:p w14:paraId="3E79BF44" w14:textId="77777777" w:rsidR="009900FD" w:rsidRDefault="009900FD" w:rsidP="009900FD">
      <w:pPr>
        <w:spacing w:after="120"/>
        <w:rPr>
          <w:szCs w:val="24"/>
        </w:rPr>
      </w:pPr>
      <w:r>
        <w:rPr>
          <w:szCs w:val="24"/>
        </w:rPr>
        <w:t xml:space="preserve">Määrus ei ole </w:t>
      </w:r>
      <w:r w:rsidRPr="001425DB">
        <w:rPr>
          <w:szCs w:val="24"/>
        </w:rPr>
        <w:t>edasikaevatav</w:t>
      </w:r>
      <w:r>
        <w:rPr>
          <w:szCs w:val="24"/>
        </w:rPr>
        <w:t xml:space="preserve"> (halduskohtumenetluse seadustik (HKMS) § 203 lg 1)</w:t>
      </w:r>
      <w:r w:rsidRPr="001425DB">
        <w:rPr>
          <w:szCs w:val="24"/>
        </w:rPr>
        <w:t>.</w:t>
      </w:r>
      <w:r>
        <w:rPr>
          <w:szCs w:val="24"/>
        </w:rPr>
        <w:t xml:space="preserve"> </w:t>
      </w:r>
      <w:r w:rsidRPr="006C7C20">
        <w:rPr>
          <w:szCs w:val="24"/>
        </w:rPr>
        <w:t xml:space="preserve">Sekretäril saata määrus </w:t>
      </w:r>
      <w:r>
        <w:rPr>
          <w:szCs w:val="24"/>
        </w:rPr>
        <w:t>menetlusosalistele.</w:t>
      </w:r>
    </w:p>
    <w:p w14:paraId="5FAB6DD7" w14:textId="77777777" w:rsidR="009900FD" w:rsidRDefault="009900FD" w:rsidP="009900FD">
      <w:pPr>
        <w:spacing w:after="120"/>
        <w:rPr>
          <w:b/>
          <w:szCs w:val="24"/>
        </w:rPr>
      </w:pPr>
    </w:p>
    <w:p w14:paraId="4EA1BEA6" w14:textId="77777777" w:rsidR="009900FD" w:rsidRPr="003769B3" w:rsidRDefault="009900FD" w:rsidP="009900FD">
      <w:pPr>
        <w:spacing w:after="120"/>
        <w:rPr>
          <w:b/>
          <w:szCs w:val="24"/>
        </w:rPr>
      </w:pPr>
      <w:r w:rsidRPr="003769B3">
        <w:rPr>
          <w:b/>
          <w:szCs w:val="24"/>
        </w:rPr>
        <w:t>ASJAOLUD</w:t>
      </w:r>
      <w:r>
        <w:rPr>
          <w:b/>
          <w:szCs w:val="24"/>
        </w:rPr>
        <w:t xml:space="preserve"> JA MENETLUSE KÄIK</w:t>
      </w:r>
    </w:p>
    <w:p w14:paraId="2E1BD593" w14:textId="77777777" w:rsidR="009900FD" w:rsidRDefault="009900FD" w:rsidP="009900FD">
      <w:pPr>
        <w:pStyle w:val="DOKTEKST"/>
        <w:ind w:left="0" w:firstLine="0"/>
      </w:pPr>
      <w:r>
        <w:t>Häädemeeste Vallavalitsuse 24.11.2021</w:t>
      </w:r>
      <w:r w:rsidR="001D153E">
        <w:t xml:space="preserve"> [korraldusele märgitud kuupäev 23.11.2021, kuid allkirjastatud 24.11.2021]</w:t>
      </w:r>
      <w:r>
        <w:t xml:space="preserve"> korraldusega nr 691: 1) nõustuti Häädemeeste vallas Kabli külas Salu (katastriüksuse tunnus 21303:002:0507), </w:t>
      </w:r>
      <w:proofErr w:type="spellStart"/>
      <w:r>
        <w:t>Sõeru</w:t>
      </w:r>
      <w:proofErr w:type="spellEnd"/>
      <w:r>
        <w:t xml:space="preserve">-Lepa (katastriüksuse tunnus 21303:002:0506) ja </w:t>
      </w:r>
      <w:proofErr w:type="spellStart"/>
      <w:r>
        <w:t>Sõeru</w:t>
      </w:r>
      <w:proofErr w:type="spellEnd"/>
      <w:r>
        <w:t>-Männi (katastriüksuse tunnus 21303:002:0315) katastriüksus</w:t>
      </w:r>
      <w:r w:rsidR="00B93C6E">
        <w:t>t</w:t>
      </w:r>
      <w:r>
        <w:t xml:space="preserve">e piiride muutmisega vastavalt korralduse lisas olevale asendiplaanile; 2) määrati katastriüksuste piirimuudatuse tulemusel lähiaadressid ja maasihtotstarbed alljärgnevalt: 2.1. Salu, maatulundusmaa 100%; 2.2. </w:t>
      </w:r>
      <w:proofErr w:type="spellStart"/>
      <w:r>
        <w:t>Sõeru</w:t>
      </w:r>
      <w:proofErr w:type="spellEnd"/>
      <w:r>
        <w:t xml:space="preserve">-Lepa, elamumaa 100%; 2.3. </w:t>
      </w:r>
      <w:proofErr w:type="spellStart"/>
      <w:r>
        <w:t>Sõeru</w:t>
      </w:r>
      <w:proofErr w:type="spellEnd"/>
      <w:r>
        <w:t xml:space="preserve">-Männi, elamumaa 100%; 3) </w:t>
      </w:r>
      <w:r w:rsidR="00817539">
        <w:t xml:space="preserve">määrati, et </w:t>
      </w:r>
      <w:r>
        <w:t>juurdepääs kinnistutele hakka</w:t>
      </w:r>
      <w:r w:rsidR="00817539">
        <w:t>b</w:t>
      </w:r>
      <w:r>
        <w:t xml:space="preserve"> kulgema üle riigi omandis oleva </w:t>
      </w:r>
      <w:proofErr w:type="spellStart"/>
      <w:r>
        <w:t>Orajõe</w:t>
      </w:r>
      <w:proofErr w:type="spellEnd"/>
      <w:r>
        <w:t xml:space="preserve"> metskond 15 kinnistu </w:t>
      </w:r>
      <w:r>
        <w:lastRenderedPageBreak/>
        <w:t xml:space="preserve">(katastriüksuse tunnus 21303:002:0477); </w:t>
      </w:r>
      <w:proofErr w:type="spellStart"/>
      <w:r>
        <w:t>Sõeru</w:t>
      </w:r>
      <w:proofErr w:type="spellEnd"/>
      <w:r>
        <w:t xml:space="preserve">-Lepa ja </w:t>
      </w:r>
      <w:proofErr w:type="spellStart"/>
      <w:r>
        <w:t>Sõeru</w:t>
      </w:r>
      <w:proofErr w:type="spellEnd"/>
      <w:r>
        <w:t>-Männi juurdepääsud toimuvad üle Salu katastriüksuse, selle tagamiseks tuleb seada notariaalsed juurdepääsu servituudid peale piiride muutmise jõustumist.</w:t>
      </w:r>
    </w:p>
    <w:p w14:paraId="7CDD381F" w14:textId="77777777" w:rsidR="009900FD" w:rsidRDefault="009900FD" w:rsidP="009900FD">
      <w:pPr>
        <w:pStyle w:val="DOKTEKST"/>
        <w:ind w:left="0" w:firstLine="0"/>
      </w:pPr>
      <w:proofErr w:type="spellStart"/>
      <w:r w:rsidRPr="001D153E">
        <w:rPr>
          <w:b/>
        </w:rPr>
        <w:t>Päidre</w:t>
      </w:r>
      <w:proofErr w:type="spellEnd"/>
      <w:r w:rsidRPr="001D153E">
        <w:rPr>
          <w:b/>
        </w:rPr>
        <w:t xml:space="preserve"> Põllud OÜ</w:t>
      </w:r>
      <w:r>
        <w:t xml:space="preserve"> esitas 05.09.2022 Häädemeeste vallale avalduse </w:t>
      </w:r>
      <w:proofErr w:type="spellStart"/>
      <w:r>
        <w:t>Sõeru</w:t>
      </w:r>
      <w:proofErr w:type="spellEnd"/>
      <w:r>
        <w:t>-Männi</w:t>
      </w:r>
      <w:r w:rsidR="001D153E">
        <w:t xml:space="preserve"> katastriüksuse kolmeks eraldi katastriüksuse jagamiseks vastavalt avaldusele lisatud jagamisplaanile.</w:t>
      </w:r>
    </w:p>
    <w:p w14:paraId="4DBF07A7" w14:textId="77777777" w:rsidR="001D153E" w:rsidRDefault="001D153E" w:rsidP="009900FD">
      <w:pPr>
        <w:pStyle w:val="DOKTEKST"/>
        <w:ind w:left="0" w:firstLine="0"/>
      </w:pPr>
      <w:r w:rsidRPr="001D153E">
        <w:rPr>
          <w:b/>
        </w:rPr>
        <w:t>Häädemeeste Vallavalitsuse 2</w:t>
      </w:r>
      <w:r>
        <w:rPr>
          <w:b/>
        </w:rPr>
        <w:t>7</w:t>
      </w:r>
      <w:r w:rsidRPr="001D153E">
        <w:rPr>
          <w:b/>
        </w:rPr>
        <w:t>.09.2022</w:t>
      </w:r>
      <w:r>
        <w:t xml:space="preserve"> [korraldusele märgitud kuupäev 21.09.2022, kuid allkirjastatud 27.09.2022]</w:t>
      </w:r>
      <w:r w:rsidRPr="001D153E">
        <w:rPr>
          <w:b/>
        </w:rPr>
        <w:t xml:space="preserve"> korraldusega nr 431</w:t>
      </w:r>
      <w:r>
        <w:t xml:space="preserve"> tunnistati kehtetuks Häädemeeste Vallavalitsuse 23.11.2021 korraldus nr 691. Korralduse põhjendused olid kokkuvõtlikult järgmised.</w:t>
      </w:r>
    </w:p>
    <w:p w14:paraId="34957E64" w14:textId="77777777" w:rsidR="001D153E" w:rsidRDefault="001D153E" w:rsidP="001D153E">
      <w:pPr>
        <w:pStyle w:val="DOKTEKST"/>
        <w:numPr>
          <w:ilvl w:val="0"/>
          <w:numId w:val="0"/>
        </w:numPr>
      </w:pPr>
      <w:r>
        <w:t xml:space="preserve">Kuivõrd </w:t>
      </w:r>
      <w:proofErr w:type="spellStart"/>
      <w:r>
        <w:t>Päidre</w:t>
      </w:r>
      <w:proofErr w:type="spellEnd"/>
      <w:r>
        <w:t xml:space="preserve"> Põllud OÜ esitas 05.09.2022 avalduse </w:t>
      </w:r>
      <w:proofErr w:type="spellStart"/>
      <w:r>
        <w:t>Sõeru</w:t>
      </w:r>
      <w:proofErr w:type="spellEnd"/>
      <w:r>
        <w:t>-Männi katastriüksuse jagamiseks, siis ei ole võimalik maaomaniku 15.10.2021 esitatud avalduse alusel Häädemeeste Vallavalitsuse 23.11.2021 korralduses nr 691 näidatud viisil katastriüksuste piiride muutmist ellu v</w:t>
      </w:r>
      <w:bookmarkStart w:id="0" w:name="_GoBack"/>
      <w:bookmarkEnd w:id="0"/>
      <w:r>
        <w:t>iia.</w:t>
      </w:r>
    </w:p>
    <w:p w14:paraId="661E8B4E" w14:textId="77777777" w:rsidR="001D153E" w:rsidRPr="002932BF" w:rsidRDefault="001D153E" w:rsidP="009900FD">
      <w:pPr>
        <w:pStyle w:val="DOKTEKST"/>
        <w:ind w:left="0" w:firstLine="0"/>
      </w:pPr>
      <w:proofErr w:type="spellStart"/>
      <w:r w:rsidRPr="001D153E">
        <w:rPr>
          <w:b/>
        </w:rPr>
        <w:t>Päidre</w:t>
      </w:r>
      <w:proofErr w:type="spellEnd"/>
      <w:r w:rsidRPr="001D153E">
        <w:rPr>
          <w:b/>
        </w:rPr>
        <w:t xml:space="preserve"> Põllud OÜ</w:t>
      </w:r>
      <w:r>
        <w:t xml:space="preserve"> esitas 21.10.2022 Tallinna Halduskohtule </w:t>
      </w:r>
      <w:r w:rsidRPr="001D153E">
        <w:rPr>
          <w:b/>
        </w:rPr>
        <w:t>kaebuse</w:t>
      </w:r>
      <w:r>
        <w:t xml:space="preserve"> </w:t>
      </w:r>
      <w:r>
        <w:t>Häädemeeste Vallavalitsuse 2</w:t>
      </w:r>
      <w:r w:rsidR="00817539">
        <w:t>7</w:t>
      </w:r>
      <w:r>
        <w:t>.09.2022 korralduse nr 431 tühistamise nõudes</w:t>
      </w:r>
      <w:r>
        <w:t>.</w:t>
      </w:r>
    </w:p>
    <w:p w14:paraId="3CD32C64" w14:textId="77777777" w:rsidR="009900FD" w:rsidRDefault="009900FD" w:rsidP="009900FD">
      <w:pPr>
        <w:pStyle w:val="DOKTEKST"/>
        <w:numPr>
          <w:ilvl w:val="0"/>
          <w:numId w:val="0"/>
        </w:numPr>
        <w:rPr>
          <w:b/>
        </w:rPr>
      </w:pPr>
    </w:p>
    <w:p w14:paraId="0C5AD83D" w14:textId="77777777" w:rsidR="009900FD" w:rsidRDefault="009900FD" w:rsidP="009900FD">
      <w:pPr>
        <w:pStyle w:val="DOKTEKST"/>
        <w:numPr>
          <w:ilvl w:val="0"/>
          <w:numId w:val="0"/>
        </w:numPr>
        <w:rPr>
          <w:b/>
        </w:rPr>
      </w:pPr>
      <w:r>
        <w:rPr>
          <w:b/>
        </w:rPr>
        <w:t>K</w:t>
      </w:r>
      <w:r w:rsidRPr="00114ABC">
        <w:rPr>
          <w:b/>
        </w:rPr>
        <w:t>OHTU PÕHJENDUSED</w:t>
      </w:r>
    </w:p>
    <w:p w14:paraId="142662D2" w14:textId="77777777" w:rsidR="009900FD" w:rsidRPr="001A507F" w:rsidRDefault="009900FD" w:rsidP="009900FD">
      <w:pPr>
        <w:pStyle w:val="DOKTEKST"/>
        <w:ind w:left="0" w:firstLine="0"/>
      </w:pPr>
      <w:r>
        <w:t xml:space="preserve">Kohus leiab, </w:t>
      </w:r>
      <w:r w:rsidRPr="00DE172C">
        <w:t xml:space="preserve">et </w:t>
      </w:r>
      <w:proofErr w:type="spellStart"/>
      <w:r>
        <w:t>Päidre</w:t>
      </w:r>
      <w:proofErr w:type="spellEnd"/>
      <w:r>
        <w:t xml:space="preserve"> Põllud OÜ</w:t>
      </w:r>
      <w:r>
        <w:t xml:space="preserve"> </w:t>
      </w:r>
      <w:r w:rsidRPr="00DE172C">
        <w:t xml:space="preserve">kaebus kuulub halduskohtu pädevusse ning alluvuse järgi lahendamisele Tallinna Halduskohtus. </w:t>
      </w:r>
      <w:r>
        <w:t>K</w:t>
      </w:r>
      <w:r w:rsidRPr="00DE172C">
        <w:t>aebus</w:t>
      </w:r>
      <w:r>
        <w:t xml:space="preserve">es toodud andmete õigsust eeldades on kaebus esitatud HKMS § 46 </w:t>
      </w:r>
      <w:proofErr w:type="spellStart"/>
      <w:r>
        <w:t>lg-s</w:t>
      </w:r>
      <w:proofErr w:type="spellEnd"/>
      <w:r>
        <w:t xml:space="preserve"> 1 sätestatud tähtaja jooksul ning </w:t>
      </w:r>
      <w:r w:rsidRPr="00C82603">
        <w:t xml:space="preserve">vastab HKMS §-des 37-39 toodud nõuetele määral, mis võimaldab selle HKMS § 120 lg 2 alusel menetlusse võtta. </w:t>
      </w:r>
      <w:r>
        <w:t>Kaebuselt on tasutud riigilõiv 20 eurot</w:t>
      </w:r>
      <w:r w:rsidRPr="001A507F">
        <w:t xml:space="preserve"> (riigilõivuseadus §</w:t>
      </w:r>
      <w:r>
        <w:t xml:space="preserve"> 60 lg 1</w:t>
      </w:r>
      <w:r w:rsidRPr="001A507F">
        <w:t>)</w:t>
      </w:r>
      <w:r>
        <w:t>.</w:t>
      </w:r>
    </w:p>
    <w:p w14:paraId="1FA9D0C8" w14:textId="77777777" w:rsidR="009900FD" w:rsidRDefault="009900FD" w:rsidP="009900FD">
      <w:pPr>
        <w:pStyle w:val="DOKTEKST"/>
        <w:ind w:left="0" w:firstLine="0"/>
      </w:pPr>
      <w:r w:rsidRPr="00DE172C">
        <w:t>Kooskõlas HKMS § 17 l</w:t>
      </w:r>
      <w:r>
        <w:t>õike</w:t>
      </w:r>
      <w:r w:rsidRPr="00DE172C">
        <w:t xml:space="preserve">ga 1 tunnistab kohus vastustajaks </w:t>
      </w:r>
      <w:r>
        <w:t>Häädemeeste valla</w:t>
      </w:r>
      <w:r>
        <w:t>.</w:t>
      </w:r>
      <w:r w:rsidRPr="00DE172C">
        <w:t xml:space="preserve"> Vastustajal tuleb esitada kaebusele vastus ja kõik vaidlusega seotud ning asja lahendamiseks vajalikud dokumendid, mida ei ole veel kohtule esitatud. Kaebusele vastuse koostamisel tuleb lähtuda HKMS §</w:t>
      </w:r>
      <w:r w:rsidRPr="00DE172C">
        <w:noBreakHyphen/>
        <w:t>dest 50, 52–54 ja 123.</w:t>
      </w:r>
    </w:p>
    <w:p w14:paraId="50BB4EDD" w14:textId="77777777" w:rsidR="009900FD" w:rsidRDefault="009900FD" w:rsidP="009900FD">
      <w:pPr>
        <w:pStyle w:val="DOKTEKST"/>
        <w:ind w:left="0" w:firstLine="0"/>
      </w:pPr>
      <w:r w:rsidRPr="003B6835">
        <w:t>HKMS § 122 lg 2 p 9 kohaselt selgitab kohus välja, kas asja lahendamine on võimalik kompromissi sõlmimisega või muul kokkuleppel. HKMS § 154 lg 1 kohaselt võivad pooled kuni kaebuse kohta tehtud lõpliku lahendi jõustumiseni lõpetada menetluse kompromissiga. Eeltoodust lähtuvalt tuleb menetlusosalistel teatada kohtule</w:t>
      </w:r>
      <w:r w:rsidRPr="007C11D9">
        <w:t xml:space="preserve"> </w:t>
      </w:r>
      <w:r>
        <w:t xml:space="preserve">käesoleva määruse resolutsiooni </w:t>
      </w:r>
      <w:r w:rsidRPr="00EF36BF">
        <w:t xml:space="preserve">punktis </w:t>
      </w:r>
      <w:r>
        <w:t>4</w:t>
      </w:r>
      <w:r w:rsidRPr="00EF36BF">
        <w:t xml:space="preserve"> sätestatud</w:t>
      </w:r>
      <w:r>
        <w:t xml:space="preserve"> tähtaja jooksul</w:t>
      </w:r>
      <w:r w:rsidRPr="003B6835">
        <w:t xml:space="preserve">, kas nad peavad võimalikuks asja lahendamist kompromissiga või muul </w:t>
      </w:r>
      <w:r>
        <w:t xml:space="preserve">viisil </w:t>
      </w:r>
      <w:r w:rsidRPr="003B6835">
        <w:t>kokkuleppel.</w:t>
      </w:r>
    </w:p>
    <w:p w14:paraId="3CCD55B1" w14:textId="77777777" w:rsidR="009900FD" w:rsidRPr="00DE172C" w:rsidRDefault="009900FD" w:rsidP="009900FD">
      <w:pPr>
        <w:pStyle w:val="DOKTEKST"/>
        <w:ind w:left="0" w:firstLine="0"/>
      </w:pPr>
      <w:r w:rsidRPr="00DE172C">
        <w:rPr>
          <w:color w:val="000000"/>
        </w:rPr>
        <w:t>Kui pool soovib kohtule esitada tõendeid, mida tuleks teise poole eest varjata, tuleb selle kohta esitada kohtule selgesõnaline taotlus (HKMS § 88 lg 2 ja § 79) ning märkida taotlus ära ka tõendite kaaskirja.</w:t>
      </w:r>
    </w:p>
    <w:p w14:paraId="2C5D463D" w14:textId="77777777" w:rsidR="009900FD" w:rsidRDefault="009900FD" w:rsidP="009900FD">
      <w:pPr>
        <w:pStyle w:val="DOKTEKST"/>
        <w:ind w:left="0" w:firstLine="0"/>
      </w:pPr>
      <w:r w:rsidRPr="00DE172C">
        <w:t>HKMS § 32 lg 1 p-des 1-5 nimetatud volitatud esindaja, juriidiline isik ja haldusorgan peavad esitama menetlusdokumendid kohtule elektrooniliselt avaliku e-toimiku infosüsteemi kaudu (</w:t>
      </w:r>
      <w:hyperlink r:id="rId7" w:history="1">
        <w:r w:rsidRPr="00DE172C">
          <w:rPr>
            <w:rStyle w:val="Hperlink"/>
          </w:rPr>
          <w:t>www.e-toimik.ee</w:t>
        </w:r>
      </w:hyperlink>
      <w:r w:rsidRPr="00DE172C">
        <w:t xml:space="preserve">) või mõjuval põhjusel elektrooniliselt aadressil </w:t>
      </w:r>
      <w:hyperlink r:id="rId8" w:history="1">
        <w:r w:rsidRPr="00DE172C">
          <w:rPr>
            <w:rStyle w:val="Hperlink"/>
            <w:bCs/>
          </w:rPr>
          <w:t>talhk.menetlus@kohus.ee</w:t>
        </w:r>
      </w:hyperlink>
      <w:r w:rsidRPr="00DE172C">
        <w:t xml:space="preserve"> (HKMS § 53 lg 1 ja tsiviilkohtumenetluse seadustiku (</w:t>
      </w:r>
      <w:proofErr w:type="spellStart"/>
      <w:r w:rsidRPr="00DE172C">
        <w:t>TsMS</w:t>
      </w:r>
      <w:proofErr w:type="spellEnd"/>
      <w:r w:rsidRPr="00DE172C">
        <w:t xml:space="preserve">) § 336 lg 6). Ka teised menetlusosalised esitavad võimaluse korral menetlusdokumendid kohtule elektrooniliselt (HKMS § 52 lg 6, </w:t>
      </w:r>
      <w:proofErr w:type="spellStart"/>
      <w:r w:rsidRPr="00DE172C">
        <w:t>TsMS</w:t>
      </w:r>
      <w:proofErr w:type="spellEnd"/>
      <w:r w:rsidRPr="00DE172C">
        <w:t xml:space="preserve"> § 334 lg 2).</w:t>
      </w:r>
    </w:p>
    <w:p w14:paraId="115C4AF5" w14:textId="77777777" w:rsidR="009900FD" w:rsidRDefault="009900FD" w:rsidP="009900FD">
      <w:pPr>
        <w:pStyle w:val="DOKTEKST"/>
        <w:ind w:left="0" w:firstLine="0"/>
      </w:pPr>
      <w:r w:rsidRPr="00DE172C">
        <w:t xml:space="preserve">Menetlusosaline on kohustatud kasutama oma menetlusõigusi heauskselt (HKMS § 28 lg 1). Kohus ei luba menetlusosalisel ega tema esindajal või nõustajal oma õigusi kuritarvitada, menetlust venitada ega kohut eksitusse viia. Asja õiget, kiiret ja võimalikult väikeste kuludega </w:t>
      </w:r>
      <w:r w:rsidRPr="00DE172C">
        <w:lastRenderedPageBreak/>
        <w:t>menetlemist pahatahtlikult takistavat või kirjalikus avalduses end sündsusetult või kohtu või teise menetlusosalise suhtes lugupidamatult väljendanud menetlusosalist, esindajat või nõustajat võib kohus trahvida (HKMS § 28 lg 2).</w:t>
      </w:r>
      <w:r w:rsidRPr="00DE5DBA">
        <w:t xml:space="preserve"> </w:t>
      </w:r>
      <w:r w:rsidRPr="00973983">
        <w:t xml:space="preserve">Menetlusdokumentide vastuvõtmisega viivitamine venitab menetlust ja takistab asja kiiret lahendamist. Kohus hoiatab, et menetlusdokumentide </w:t>
      </w:r>
      <w:proofErr w:type="spellStart"/>
      <w:r w:rsidRPr="00973983">
        <w:t>vastuvõtmata</w:t>
      </w:r>
      <w:proofErr w:type="spellEnd"/>
      <w:r w:rsidRPr="00973983">
        <w:t xml:space="preserve"> jätmise ja vastuvõtmise kohta kinnituse saatmata jätmise korral võib kohus trahvida kohustust rikkunud menetlusosalist.</w:t>
      </w:r>
      <w:r>
        <w:t xml:space="preserve"> </w:t>
      </w:r>
    </w:p>
    <w:p w14:paraId="1CB466B5" w14:textId="77777777" w:rsidR="009900FD" w:rsidRDefault="009900FD" w:rsidP="009900FD">
      <w:pPr>
        <w:pStyle w:val="DOKTEKST"/>
        <w:spacing w:before="120"/>
        <w:ind w:left="0" w:right="-567" w:firstLine="0"/>
      </w:pPr>
      <w:r>
        <w:t>Avaldus tuleb sõnastada võimalikult selgelt ja lühidalt (HKMS § 52 lg 1).</w:t>
      </w:r>
    </w:p>
    <w:p w14:paraId="4FD4EF17" w14:textId="77777777" w:rsidR="009900FD" w:rsidRDefault="009900FD" w:rsidP="009900FD">
      <w:pPr>
        <w:pStyle w:val="DOKTEKST"/>
        <w:numPr>
          <w:ilvl w:val="0"/>
          <w:numId w:val="0"/>
        </w:numPr>
      </w:pPr>
    </w:p>
    <w:p w14:paraId="36E52E2E" w14:textId="77777777" w:rsidR="009900FD" w:rsidRDefault="009900FD" w:rsidP="009900FD">
      <w:pPr>
        <w:spacing w:after="0"/>
        <w:ind w:right="-567"/>
        <w:rPr>
          <w:szCs w:val="24"/>
          <w:lang w:eastAsia="et-EE"/>
        </w:rPr>
      </w:pPr>
    </w:p>
    <w:p w14:paraId="112978F9" w14:textId="77777777" w:rsidR="009900FD" w:rsidRPr="00527EF3" w:rsidRDefault="009900FD" w:rsidP="009900FD">
      <w:pPr>
        <w:spacing w:after="0"/>
        <w:ind w:right="-567"/>
        <w:rPr>
          <w:szCs w:val="24"/>
          <w:lang w:eastAsia="et-EE"/>
        </w:rPr>
      </w:pPr>
      <w:r>
        <w:rPr>
          <w:szCs w:val="24"/>
          <w:lang w:eastAsia="et-EE"/>
        </w:rPr>
        <w:t>(allkirjastatud digitaalselt)</w:t>
      </w:r>
    </w:p>
    <w:p w14:paraId="7F12AF43" w14:textId="77777777" w:rsidR="00087B5D" w:rsidRDefault="00376535"/>
    <w:sectPr w:rsidR="00087B5D" w:rsidSect="00BA45EC">
      <w:headerReference w:type="default" r:id="rId9"/>
      <w:footerReference w:type="default" r:id="rId10"/>
      <w:headerReference w:type="first" r:id="rId11"/>
      <w:pgSz w:w="11906" w:h="16838" w:code="9"/>
      <w:pgMar w:top="1361" w:right="1418" w:bottom="136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E129E" w14:textId="77777777" w:rsidR="009900FD" w:rsidRDefault="009900FD" w:rsidP="009900FD">
      <w:pPr>
        <w:spacing w:after="0"/>
      </w:pPr>
      <w:r>
        <w:separator/>
      </w:r>
    </w:p>
  </w:endnote>
  <w:endnote w:type="continuationSeparator" w:id="0">
    <w:p w14:paraId="24DEA658" w14:textId="77777777" w:rsidR="009900FD" w:rsidRDefault="009900FD" w:rsidP="009900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F4964" w14:textId="77777777" w:rsidR="00BA45EC" w:rsidRPr="00F90E1A" w:rsidRDefault="00376535" w:rsidP="00BA45EC">
    <w:pPr>
      <w:pStyle w:val="Jalus"/>
      <w:jc w:val="right"/>
      <w:rPr>
        <w:sz w:val="23"/>
        <w:szCs w:val="23"/>
      </w:rPr>
    </w:pPr>
    <w:r w:rsidRPr="00F76B32">
      <w:rPr>
        <w:rStyle w:val="Lehekljenumber"/>
        <w:sz w:val="23"/>
        <w:szCs w:val="23"/>
      </w:rPr>
      <w:fldChar w:fldCharType="begin"/>
    </w:r>
    <w:r w:rsidRPr="00F76B32">
      <w:rPr>
        <w:rStyle w:val="Lehekljenumber"/>
        <w:sz w:val="23"/>
        <w:szCs w:val="23"/>
      </w:rPr>
      <w:instrText xml:space="preserve">PAGE  </w:instrText>
    </w:r>
    <w:r w:rsidRPr="00F76B32">
      <w:rPr>
        <w:rStyle w:val="Lehekljenumber"/>
        <w:sz w:val="23"/>
        <w:szCs w:val="23"/>
      </w:rPr>
      <w:fldChar w:fldCharType="separate"/>
    </w:r>
    <w:r>
      <w:rPr>
        <w:rStyle w:val="Lehekljenumber"/>
        <w:noProof/>
        <w:sz w:val="23"/>
        <w:szCs w:val="23"/>
      </w:rPr>
      <w:t>3</w:t>
    </w:r>
    <w:r w:rsidRPr="00F76B32">
      <w:rPr>
        <w:rStyle w:val="Lehekljenumber"/>
        <w:sz w:val="23"/>
        <w:szCs w:val="23"/>
      </w:rPr>
      <w:fldChar w:fldCharType="end"/>
    </w:r>
    <w:r w:rsidRPr="00F76B32">
      <w:rPr>
        <w:rStyle w:val="Lehekljenumber"/>
        <w:sz w:val="23"/>
        <w:szCs w:val="23"/>
      </w:rPr>
      <w:t>(</w:t>
    </w:r>
    <w:r w:rsidRPr="00F76B32">
      <w:rPr>
        <w:rStyle w:val="Lehekljenumber"/>
        <w:sz w:val="23"/>
        <w:szCs w:val="23"/>
      </w:rPr>
      <w:fldChar w:fldCharType="begin"/>
    </w:r>
    <w:r w:rsidRPr="00F76B32">
      <w:rPr>
        <w:rStyle w:val="Lehekljenumber"/>
        <w:sz w:val="23"/>
        <w:szCs w:val="23"/>
      </w:rPr>
      <w:instrText xml:space="preserve"> NUMPAGES </w:instrText>
    </w:r>
    <w:r w:rsidRPr="00F76B32">
      <w:rPr>
        <w:rStyle w:val="Lehekljenumber"/>
        <w:sz w:val="23"/>
        <w:szCs w:val="23"/>
      </w:rPr>
      <w:fldChar w:fldCharType="separate"/>
    </w:r>
    <w:r>
      <w:rPr>
        <w:rStyle w:val="Lehekljenumber"/>
        <w:noProof/>
        <w:sz w:val="23"/>
        <w:szCs w:val="23"/>
      </w:rPr>
      <w:t>3</w:t>
    </w:r>
    <w:r w:rsidRPr="00F76B32">
      <w:rPr>
        <w:rStyle w:val="Lehekljenumber"/>
        <w:sz w:val="23"/>
        <w:szCs w:val="23"/>
      </w:rPr>
      <w:fldChar w:fldCharType="end"/>
    </w:r>
    <w:r w:rsidRPr="00F76B32">
      <w:rPr>
        <w:rStyle w:val="Lehekljenumber"/>
        <w:sz w:val="23"/>
        <w:szCs w:val="23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22C0B" w14:textId="77777777" w:rsidR="009900FD" w:rsidRDefault="009900FD" w:rsidP="009900FD">
      <w:pPr>
        <w:spacing w:after="0"/>
      </w:pPr>
      <w:r>
        <w:separator/>
      </w:r>
    </w:p>
  </w:footnote>
  <w:footnote w:type="continuationSeparator" w:id="0">
    <w:p w14:paraId="480F924D" w14:textId="77777777" w:rsidR="009900FD" w:rsidRDefault="009900FD" w:rsidP="009900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1AFF2" w14:textId="77777777" w:rsidR="00BA45EC" w:rsidRPr="00F90E1A" w:rsidRDefault="00376535" w:rsidP="00BA45EC">
    <w:pPr>
      <w:pStyle w:val="Pis"/>
      <w:jc w:val="right"/>
      <w:rPr>
        <w:sz w:val="23"/>
        <w:szCs w:val="23"/>
      </w:rPr>
    </w:pPr>
    <w:r>
      <w:rPr>
        <w:sz w:val="23"/>
        <w:szCs w:val="23"/>
      </w:rPr>
      <w:t>3-22-</w:t>
    </w:r>
    <w:r>
      <w:rPr>
        <w:sz w:val="23"/>
        <w:szCs w:val="23"/>
      </w:rPr>
      <w:t>2</w:t>
    </w:r>
    <w:r w:rsidR="009900FD">
      <w:rPr>
        <w:sz w:val="23"/>
        <w:szCs w:val="23"/>
      </w:rPr>
      <w:t>261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71A50" w14:textId="77777777" w:rsidR="00BA45EC" w:rsidRDefault="00376535" w:rsidP="00EA3AD9">
    <w:pPr>
      <w:pStyle w:val="Pis"/>
      <w:tabs>
        <w:tab w:val="clear" w:pos="9072"/>
        <w:tab w:val="left" w:pos="5700"/>
      </w:tabs>
      <w:jc w:val="center"/>
      <w:rPr>
        <w:b/>
        <w:noProof/>
      </w:rPr>
    </w:pPr>
    <w:r>
      <w:rPr>
        <w:noProof/>
        <w:lang w:eastAsia="et-EE"/>
      </w:rPr>
      <w:drawing>
        <wp:inline distT="0" distB="0" distL="0" distR="0" wp14:anchorId="0631AC1C" wp14:editId="3AA469BE">
          <wp:extent cx="742950" cy="819150"/>
          <wp:effectExtent l="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093B69" w14:textId="77777777" w:rsidR="00EA3AD9" w:rsidRPr="00EA3AD9" w:rsidRDefault="00376535" w:rsidP="00EA3AD9">
    <w:pPr>
      <w:pStyle w:val="Pis"/>
      <w:tabs>
        <w:tab w:val="clear" w:pos="9072"/>
        <w:tab w:val="left" w:pos="5700"/>
      </w:tabs>
      <w:jc w:val="center"/>
      <w:rPr>
        <w:b/>
        <w:noProof/>
      </w:rPr>
    </w:pPr>
  </w:p>
  <w:p w14:paraId="39392EDF" w14:textId="77777777" w:rsidR="00BA45EC" w:rsidRPr="004C3A45" w:rsidRDefault="00376535" w:rsidP="00BA45EC">
    <w:pPr>
      <w:pStyle w:val="Pis"/>
      <w:tabs>
        <w:tab w:val="center" w:pos="4320"/>
        <w:tab w:val="center" w:pos="4394"/>
      </w:tabs>
      <w:jc w:val="center"/>
      <w:rPr>
        <w:noProof/>
        <w:spacing w:val="80"/>
        <w:sz w:val="40"/>
        <w:szCs w:val="40"/>
        <w:lang w:val="fi-FI"/>
      </w:rPr>
    </w:pPr>
    <w:r w:rsidRPr="004C3A45">
      <w:rPr>
        <w:noProof/>
        <w:spacing w:val="80"/>
        <w:sz w:val="40"/>
        <w:szCs w:val="40"/>
        <w:lang w:val="fi-FI"/>
      </w:rPr>
      <w:t>KOHTUMÄÄRUS</w:t>
    </w:r>
  </w:p>
  <w:p w14:paraId="61C7E113" w14:textId="77777777" w:rsidR="00EA3AD9" w:rsidRPr="004C3A45" w:rsidRDefault="00376535" w:rsidP="00EA3AD9">
    <w:pPr>
      <w:jc w:val="center"/>
      <w:rPr>
        <w:noProof/>
        <w:szCs w:val="24"/>
        <w:lang w:val="fi-FI"/>
      </w:rPr>
    </w:pPr>
    <w:r w:rsidRPr="004C3A45">
      <w:rPr>
        <w:noProof/>
        <w:szCs w:val="24"/>
        <w:lang w:val="fi-FI"/>
      </w:rPr>
      <w:t>Eesti Vabariigi nimel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A635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4ED7B1D"/>
    <w:multiLevelType w:val="hybridMultilevel"/>
    <w:tmpl w:val="117C14AA"/>
    <w:lvl w:ilvl="0" w:tplc="3A1EFDB8">
      <w:start w:val="1"/>
      <w:numFmt w:val="decimal"/>
      <w:pStyle w:val="DOKTEKST"/>
      <w:suff w:val="space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FD"/>
    <w:rsid w:val="0000189A"/>
    <w:rsid w:val="001D153E"/>
    <w:rsid w:val="00817539"/>
    <w:rsid w:val="009900FD"/>
    <w:rsid w:val="00B93C6E"/>
    <w:rsid w:val="00C71551"/>
    <w:rsid w:val="00E944EE"/>
    <w:rsid w:val="00FB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B7266"/>
  <w15:chartTrackingRefBased/>
  <w15:docId w15:val="{36BA0177-125A-4A58-9F77-97A6A6EB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9900FD"/>
    <w:pPr>
      <w:spacing w:after="180" w:line="240" w:lineRule="auto"/>
      <w:jc w:val="both"/>
    </w:pPr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9900FD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rsid w:val="009900FD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nhideWhenUsed/>
    <w:rsid w:val="009900FD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rsid w:val="009900FD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9900FD"/>
  </w:style>
  <w:style w:type="paragraph" w:styleId="Loendilik">
    <w:name w:val="List Paragraph"/>
    <w:basedOn w:val="Normaallaad"/>
    <w:uiPriority w:val="34"/>
    <w:qFormat/>
    <w:rsid w:val="009900FD"/>
    <w:pPr>
      <w:ind w:left="720"/>
      <w:contextualSpacing/>
    </w:pPr>
  </w:style>
  <w:style w:type="paragraph" w:customStyle="1" w:styleId="DOKTEKST">
    <w:name w:val="DOK_TEKST"/>
    <w:basedOn w:val="Loendilik"/>
    <w:link w:val="DOKTEKSTMrk"/>
    <w:qFormat/>
    <w:rsid w:val="009900FD"/>
    <w:pPr>
      <w:numPr>
        <w:numId w:val="2"/>
      </w:numPr>
      <w:spacing w:after="120"/>
      <w:contextualSpacing w:val="0"/>
    </w:pPr>
    <w:rPr>
      <w:rFonts w:eastAsia="Times New Roman" w:cs="Times New Roman"/>
      <w:szCs w:val="24"/>
      <w:lang w:eastAsia="et-EE"/>
    </w:rPr>
  </w:style>
  <w:style w:type="character" w:customStyle="1" w:styleId="DOKTEKSTMrk">
    <w:name w:val="DOK_TEKST Märk"/>
    <w:basedOn w:val="Liguvaikefont"/>
    <w:link w:val="DOKTEKST"/>
    <w:rsid w:val="009900FD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perlink">
    <w:name w:val="Hyperlink"/>
    <w:basedOn w:val="Liguvaikefont"/>
    <w:uiPriority w:val="99"/>
    <w:unhideWhenUsed/>
    <w:rsid w:val="009900FD"/>
    <w:rPr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7155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715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hk.menetlus@kohus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-toimik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Registrite ja Infosüsteemide Keskus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Anu-Maria Brenner</dc:creator>
  <cp:keywords/>
  <dc:description/>
  <cp:lastModifiedBy>Anu-Maria Brenner</cp:lastModifiedBy>
  <cp:revision>3</cp:revision>
  <cp:lastPrinted>2022-11-07T10:02:00Z</cp:lastPrinted>
  <dcterms:created xsi:type="dcterms:W3CDTF">2022-11-07T10:01:00Z</dcterms:created>
  <dcterms:modified xsi:type="dcterms:W3CDTF">2022-11-07T10:02:00Z</dcterms:modified>
</cp:coreProperties>
</file>